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52"/>
        </w:rPr>
      </w:pPr>
      <w:r>
        <w:rPr>
          <w:rFonts w:hint="eastAsia" w:ascii="仿宋" w:hAnsi="仿宋" w:eastAsia="仿宋" w:cs="仿宋"/>
          <w:b/>
          <w:bCs/>
          <w:sz w:val="44"/>
          <w:szCs w:val="52"/>
        </w:rPr>
        <w:t>柳州市工人医院</w:t>
      </w:r>
    </w:p>
    <w:p>
      <w:pPr>
        <w:spacing w:after="156" w:afterLines="50"/>
        <w:jc w:val="center"/>
        <w:rPr>
          <w:rFonts w:ascii="仿宋" w:hAnsi="仿宋" w:eastAsia="仿宋" w:cs="仿宋"/>
          <w:sz w:val="30"/>
          <w:szCs w:val="30"/>
        </w:rPr>
      </w:pPr>
      <w:r>
        <w:rPr>
          <w:rFonts w:hint="eastAsia" w:ascii="仿宋" w:hAnsi="仿宋" w:eastAsia="仿宋" w:cs="仿宋"/>
          <w:b/>
          <w:bCs/>
          <w:sz w:val="44"/>
          <w:szCs w:val="44"/>
        </w:rPr>
        <w:t>2023年住院医师规范化培训招收简章</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国卫办科教发﹝2021﹞18号】“两个同等对待”明确：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柳州市工人医院始建于1933年，是一所集医疗、教学、科研、预防于一体的三级甲等综合医院，是广西医科大学第四附属医院、全国百姓放心百佳示范医院，是广西首家通过五级电子病历评审和医院信息互联互通四级甲等测评的三级甲等综合医院，是广西第一批获得互联网医院牌照的医院。医院由新总院（大综合）、西院（大骨科小综合） 、鱼峰山院区（肿瘤、妇儿）、南院（康养）4个院区组成，在职职工3596人，医学博士145人，高级职称910人，中级职称 1175人。拥有广西区级临床重点专科及临床重点（建设）专科11个，柳州市级重点专科17个，广西区重点学科</w:t>
      </w:r>
      <w:r>
        <w:rPr>
          <w:rFonts w:hint="eastAsia" w:ascii="仿宋" w:hAnsi="仿宋" w:eastAsia="仿宋" w:cs="仿宋"/>
          <w:sz w:val="28"/>
          <w:szCs w:val="28"/>
          <w:lang w:val="en-US" w:eastAsia="zh-CN"/>
        </w:rPr>
        <w:t>6</w:t>
      </w:r>
      <w:r>
        <w:rPr>
          <w:rFonts w:hint="eastAsia" w:ascii="仿宋" w:hAnsi="仿宋" w:eastAsia="仿宋" w:cs="仿宋"/>
          <w:sz w:val="28"/>
          <w:szCs w:val="28"/>
        </w:rPr>
        <w:t>个，获批自治区卫健委重点实验室1个，柳州市重点实验室4个。医院拥有国际国内尖端医疗设备，包括广西首台第四代螺旋断层放射治疗系统（TOMO）、华南地区第二台达芬奇XI手术机器人、桂中北地区首台PET-CT、西南第一个搭载西门子最高配置的Artist Pheno “飞龙”DSA及滑轨CT的复合手术室、全国第二台GE Revolution APEX 256排超高端CT、飞利浦 Ingenia CX 3.0T磁共振、骨科“天玑”手术机器人、全国一次性建成规模最大的高压氧舱等设备。我院按照自治区卫生健康委有关精神，面向社会招收住院医师开展规范化培训，现将有关事项通知如下：</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一、培训学员保障及待遇</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w:t>
      </w:r>
      <w:r>
        <w:rPr>
          <w:rFonts w:hint="eastAsia" w:ascii="仿宋" w:hAnsi="仿宋" w:eastAsia="仿宋" w:cs="仿宋"/>
          <w:b/>
          <w:bCs/>
          <w:color w:val="000000" w:themeColor="text1"/>
          <w:sz w:val="28"/>
          <w:szCs w:val="28"/>
          <w14:textFill>
            <w14:solidFill>
              <w14:schemeClr w14:val="tx1"/>
            </w14:solidFill>
          </w14:textFill>
        </w:rPr>
        <w:t>免培养费</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（二）培训期间待遇</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1.基本工资：</w:t>
      </w:r>
    </w:p>
    <w:p>
      <w:pPr>
        <w:spacing w:line="520" w:lineRule="exact"/>
        <w:ind w:firstLine="560" w:firstLineChars="200"/>
        <w:rPr>
          <w:rFonts w:ascii="仿宋" w:hAnsi="仿宋" w:eastAsia="仿宋"/>
          <w:sz w:val="28"/>
          <w:szCs w:val="28"/>
        </w:rPr>
      </w:pPr>
      <w:r>
        <w:rPr>
          <w:rFonts w:hint="eastAsia" w:ascii="仿宋" w:hAnsi="仿宋" w:eastAsia="仿宋" w:cs="仿宋"/>
          <w:sz w:val="28"/>
          <w:szCs w:val="28"/>
        </w:rPr>
        <w:t>社会化学员人事档案统一放回生源地，由生源地档案管理机构代理，工资医院按本院</w:t>
      </w:r>
      <w:r>
        <w:rPr>
          <w:rFonts w:hint="eastAsia" w:ascii="仿宋" w:hAnsi="仿宋" w:eastAsia="仿宋" w:cs="仿宋"/>
          <w:color w:val="000000" w:themeColor="text1"/>
          <w:sz w:val="28"/>
          <w:szCs w:val="28"/>
          <w14:textFill>
            <w14:solidFill>
              <w14:schemeClr w14:val="tx1"/>
            </w14:solidFill>
          </w14:textFill>
        </w:rPr>
        <w:t>同类人员标准发放</w:t>
      </w:r>
      <w:r>
        <w:rPr>
          <w:rFonts w:hint="eastAsia" w:ascii="仿宋" w:hAnsi="仿宋" w:eastAsia="仿宋" w:cs="仿宋"/>
          <w:sz w:val="28"/>
          <w:szCs w:val="28"/>
        </w:rPr>
        <w:t>；</w:t>
      </w:r>
      <w:r>
        <w:rPr>
          <w:rFonts w:hint="eastAsia" w:ascii="仿宋" w:hAnsi="仿宋" w:eastAsia="仿宋"/>
          <w:sz w:val="28"/>
          <w:szCs w:val="28"/>
        </w:rPr>
        <w:t>单位委托培养学员的档案参照原单位职工管理，培训期间其工资待遇、相关保险等由原单位负责发放，原单位发放的工资低于我院同等条件住院医师工资水平的部分由我院负责补齐。</w:t>
      </w:r>
    </w:p>
    <w:p>
      <w:pPr>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sz w:val="28"/>
          <w:szCs w:val="28"/>
        </w:rPr>
        <w:t>2.</w:t>
      </w:r>
      <w:r>
        <w:rPr>
          <w:rFonts w:hint="eastAsia" w:ascii="仿宋" w:hAnsi="仿宋" w:eastAsia="仿宋" w:cs="仿宋"/>
          <w:b/>
          <w:bCs/>
          <w:color w:val="000000" w:themeColor="text1"/>
          <w:sz w:val="28"/>
          <w:szCs w:val="28"/>
          <w14:textFill>
            <w14:solidFill>
              <w14:schemeClr w14:val="tx1"/>
            </w14:solidFill>
          </w14:textFill>
        </w:rPr>
        <w:t>医院生活补助：</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所有专业学员（包括紧缺专业）享受医院生活补助，第一年2400元/月，第二年取得处方权3200元/月，第三年独立值班4000元/月。</w:t>
      </w:r>
    </w:p>
    <w:p>
      <w:pPr>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轮转科室绩效：</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所有专业学员（包括紧缺专业），获得“两证一权”，并在轮转科室独立值班的学员，由轮转科室进行考核后，发放值班补助及绩效。</w:t>
      </w:r>
    </w:p>
    <w:p>
      <w:pPr>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.紧缺专业生活补助：</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全科、妇产科、麻醉科、急诊科、</w:t>
      </w:r>
      <w:r>
        <w:fldChar w:fldCharType="begin"/>
      </w:r>
      <w:r>
        <w:instrText xml:space="preserve"> HYPERLINK "http://www.gxhospital.com/depart_erke/" \t "_blank" </w:instrText>
      </w:r>
      <w:r>
        <w:fldChar w:fldCharType="separate"/>
      </w:r>
      <w:r>
        <w:rPr>
          <w:rStyle w:val="11"/>
          <w:rFonts w:hint="eastAsia" w:ascii="仿宋" w:hAnsi="仿宋" w:eastAsia="仿宋" w:cs="仿宋"/>
          <w:color w:val="000000" w:themeColor="text1"/>
          <w:sz w:val="28"/>
          <w:szCs w:val="28"/>
          <w:u w:val="none"/>
          <w14:textFill>
            <w14:solidFill>
              <w14:schemeClr w14:val="tx1"/>
            </w14:solidFill>
          </w14:textFill>
        </w:rPr>
        <w:t>儿科</w:t>
      </w:r>
      <w:r>
        <w:rPr>
          <w:rStyle w:val="11"/>
          <w:rFonts w:hint="eastAsia" w:ascii="仿宋" w:hAnsi="仿宋" w:eastAsia="仿宋" w:cs="仿宋"/>
          <w:color w:val="000000" w:themeColor="text1"/>
          <w:sz w:val="28"/>
          <w:szCs w:val="28"/>
          <w:u w:val="none"/>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、病理等紧缺专业的学员给予生活补助3600元/年。</w:t>
      </w:r>
    </w:p>
    <w:p>
      <w:pPr>
        <w:spacing w:line="520" w:lineRule="exact"/>
        <w:ind w:firstLine="562" w:firstLineChars="200"/>
        <w:rPr>
          <w:rFonts w:ascii="仿宋" w:hAnsi="仿宋" w:eastAsia="仿宋" w:cs="仿宋"/>
          <w:b/>
          <w:bCs/>
          <w:sz w:val="28"/>
          <w:szCs w:val="28"/>
        </w:rPr>
      </w:pPr>
      <w:r>
        <w:rPr>
          <w:rFonts w:ascii="仿宋" w:hAnsi="仿宋" w:eastAsia="仿宋" w:cs="仿宋"/>
          <w:b/>
          <w:bCs/>
          <w:sz w:val="28"/>
          <w:szCs w:val="28"/>
        </w:rPr>
        <w:t>5</w:t>
      </w:r>
      <w:r>
        <w:rPr>
          <w:rFonts w:hint="eastAsia" w:ascii="仿宋" w:hAnsi="仿宋" w:eastAsia="仿宋" w:cs="仿宋"/>
          <w:b/>
          <w:bCs/>
          <w:sz w:val="28"/>
          <w:szCs w:val="28"/>
        </w:rPr>
        <w:t>.住宿补贴：</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医院目前暂时不能安排住宿，医院发放住宿补贴</w:t>
      </w:r>
      <w:r>
        <w:rPr>
          <w:rFonts w:hint="eastAsia" w:ascii="仿宋" w:hAnsi="仿宋" w:eastAsia="仿宋" w:cs="仿宋"/>
          <w:color w:val="000000" w:themeColor="text1"/>
          <w:sz w:val="28"/>
          <w:szCs w:val="28"/>
          <w14:textFill>
            <w14:solidFill>
              <w14:schemeClr w14:val="tx1"/>
            </w14:solidFill>
          </w14:textFill>
        </w:rPr>
        <w:t>3600元/年</w:t>
      </w:r>
      <w:r>
        <w:rPr>
          <w:rFonts w:hint="eastAsia" w:ascii="仿宋" w:hAnsi="仿宋" w:eastAsia="仿宋" w:cs="仿宋"/>
          <w:sz w:val="28"/>
          <w:szCs w:val="28"/>
        </w:rPr>
        <w:t>，待医院二期教学综合楼落成后可安排住宿。</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二、招收专业及拟招生人数</w:t>
      </w:r>
      <w:r>
        <w:rPr>
          <w:rFonts w:hint="eastAsia" w:ascii="仿宋" w:hAnsi="仿宋" w:eastAsia="仿宋" w:cs="仿宋"/>
          <w:sz w:val="28"/>
          <w:szCs w:val="28"/>
        </w:rPr>
        <w:t>　</w:t>
      </w:r>
    </w:p>
    <w:p>
      <w:pPr>
        <w:numPr>
          <w:ilvl w:val="0"/>
          <w:numId w:val="2"/>
        </w:num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临床医学</w:t>
      </w:r>
    </w:p>
    <w:p>
      <w:pPr>
        <w:spacing w:line="520" w:lineRule="exact"/>
        <w:rPr>
          <w:rFonts w:ascii="仿宋" w:hAnsi="仿宋" w:eastAsia="仿宋" w:cs="仿宋"/>
          <w:b/>
          <w:bCs/>
          <w:sz w:val="28"/>
          <w:szCs w:val="28"/>
        </w:rPr>
      </w:pPr>
      <w:r>
        <w:rPr>
          <w:rFonts w:hint="eastAsia" w:ascii="仿宋" w:hAnsi="仿宋" w:eastAsia="仿宋" w:cs="仿宋"/>
          <w:b/>
          <w:bCs/>
          <w:sz w:val="28"/>
          <w:szCs w:val="28"/>
        </w:rPr>
        <w:t xml:space="preserve">     </w:t>
      </w:r>
    </w:p>
    <w:tbl>
      <w:tblPr>
        <w:tblStyle w:val="12"/>
        <w:tblW w:w="8385" w:type="dxa"/>
        <w:jc w:val="center"/>
        <w:tblInd w:w="0" w:type="dxa"/>
        <w:tblLayout w:type="fixed"/>
        <w:tblCellMar>
          <w:top w:w="15" w:type="dxa"/>
          <w:left w:w="15" w:type="dxa"/>
          <w:bottom w:w="15" w:type="dxa"/>
          <w:right w:w="15" w:type="dxa"/>
        </w:tblCellMar>
      </w:tblPr>
      <w:tblGrid>
        <w:gridCol w:w="1590"/>
        <w:gridCol w:w="5040"/>
        <w:gridCol w:w="1755"/>
      </w:tblGrid>
      <w:tr>
        <w:tblPrEx>
          <w:tblLayout w:type="fixed"/>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b/>
                <w:color w:val="000000"/>
                <w:sz w:val="28"/>
                <w:szCs w:val="28"/>
              </w:rPr>
            </w:pPr>
            <w:r>
              <w:rPr>
                <w:rFonts w:hint="eastAsia"/>
                <w:b/>
                <w:color w:val="000000"/>
                <w:sz w:val="28"/>
                <w:szCs w:val="28"/>
                <w:lang w:bidi="ar"/>
              </w:rPr>
              <w:t>专业代码</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b/>
                <w:color w:val="000000"/>
                <w:sz w:val="28"/>
                <w:szCs w:val="28"/>
              </w:rPr>
            </w:pPr>
            <w:r>
              <w:rPr>
                <w:rFonts w:hint="eastAsia"/>
                <w:b/>
                <w:color w:val="000000"/>
                <w:sz w:val="28"/>
                <w:szCs w:val="28"/>
                <w:lang w:bidi="ar"/>
              </w:rPr>
              <w:t>专业名称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b/>
                <w:color w:val="000000"/>
                <w:sz w:val="28"/>
                <w:szCs w:val="28"/>
              </w:rPr>
            </w:pPr>
            <w:r>
              <w:rPr>
                <w:rFonts w:hint="eastAsia"/>
                <w:b/>
                <w:color w:val="000000"/>
                <w:sz w:val="28"/>
                <w:szCs w:val="28"/>
                <w:lang w:bidi="ar"/>
              </w:rPr>
              <w:t>招收人数</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0100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内科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14</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0200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儿科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0300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急诊科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eastAsia="宋体"/>
                <w:color w:val="000000"/>
                <w:sz w:val="28"/>
                <w:szCs w:val="28"/>
                <w:lang w:eastAsia="zh-CN"/>
              </w:rPr>
            </w:pPr>
            <w:r>
              <w:rPr>
                <w:rFonts w:hint="eastAsia"/>
                <w:color w:val="000000"/>
                <w:sz w:val="28"/>
                <w:szCs w:val="28"/>
                <w:lang w:val="en-US" w:eastAsia="zh-CN"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0400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皮肤科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0600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神经内科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0700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全科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18</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0900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外科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eastAsia="宋体"/>
                <w:color w:val="000000"/>
                <w:sz w:val="28"/>
                <w:szCs w:val="28"/>
                <w:lang w:eastAsia="zh-CN"/>
              </w:rPr>
            </w:pPr>
            <w:r>
              <w:rPr>
                <w:rFonts w:hint="eastAsia"/>
                <w:color w:val="000000"/>
                <w:sz w:val="28"/>
                <w:szCs w:val="28"/>
                <w:lang w:val="en-US" w:eastAsia="zh-CN" w:bidi="ar"/>
              </w:rPr>
              <w:t>5</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1000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外科（神经外科方向）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1100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外科（胸心外科方向）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1200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外科（泌尿外科方向）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1400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骨科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4</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1600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妇产科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1700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眼科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1800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耳鼻咽喉科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1900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麻醉科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4</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2000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临床病理科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eastAsia="宋体"/>
                <w:color w:val="000000"/>
                <w:sz w:val="28"/>
                <w:szCs w:val="28"/>
                <w:lang w:eastAsia="zh-CN"/>
              </w:rPr>
            </w:pPr>
            <w:r>
              <w:rPr>
                <w:rFonts w:hint="eastAsia"/>
                <w:color w:val="000000"/>
                <w:sz w:val="28"/>
                <w:szCs w:val="28"/>
                <w:lang w:val="en-US" w:eastAsia="zh-CN" w:bidi="ar"/>
              </w:rPr>
              <w:t>3</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2100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检验医学科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eastAsia="宋体"/>
                <w:color w:val="000000"/>
                <w:sz w:val="28"/>
                <w:szCs w:val="28"/>
                <w:lang w:eastAsia="zh-CN"/>
              </w:rPr>
            </w:pPr>
            <w:r>
              <w:rPr>
                <w:rFonts w:hint="eastAsia"/>
                <w:color w:val="000000"/>
                <w:sz w:val="28"/>
                <w:szCs w:val="28"/>
                <w:lang w:val="en-US" w:eastAsia="zh-CN" w:bidi="ar"/>
              </w:rPr>
              <w:t>1</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2200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放射科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4</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2300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超声医学科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4</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2500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放射肿瘤科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color w:val="000000"/>
                <w:sz w:val="28"/>
                <w:szCs w:val="28"/>
              </w:rPr>
            </w:pPr>
            <w:r>
              <w:rPr>
                <w:rFonts w:hint="eastAsia"/>
                <w:color w:val="000000"/>
                <w:sz w:val="28"/>
                <w:szCs w:val="28"/>
                <w:lang w:bidi="ar"/>
              </w:rPr>
              <w:t>2</w:t>
            </w:r>
          </w:p>
        </w:tc>
      </w:tr>
      <w:tr>
        <w:tblPrEx>
          <w:tblLayout w:type="fixed"/>
          <w:tblCellMar>
            <w:top w:w="15" w:type="dxa"/>
            <w:left w:w="15" w:type="dxa"/>
            <w:bottom w:w="15" w:type="dxa"/>
            <w:right w:w="15" w:type="dxa"/>
          </w:tblCellMar>
        </w:tblPrEx>
        <w:trPr>
          <w:trHeight w:val="285" w:hRule="atLeast"/>
          <w:jc w:val="center"/>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3700</w:t>
            </w:r>
          </w:p>
        </w:tc>
        <w:tc>
          <w:tcPr>
            <w:tcW w:w="504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color w:val="000000"/>
                <w:sz w:val="28"/>
                <w:szCs w:val="28"/>
              </w:rPr>
            </w:pPr>
            <w:r>
              <w:rPr>
                <w:rFonts w:hint="eastAsia"/>
                <w:color w:val="000000"/>
                <w:sz w:val="28"/>
                <w:szCs w:val="28"/>
                <w:lang w:bidi="ar"/>
              </w:rPr>
              <w:t>重症医学科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eastAsia="宋体"/>
                <w:color w:val="000000"/>
                <w:sz w:val="28"/>
                <w:szCs w:val="28"/>
                <w:lang w:eastAsia="zh-CN"/>
              </w:rPr>
            </w:pPr>
            <w:r>
              <w:rPr>
                <w:rFonts w:hint="eastAsia"/>
                <w:color w:val="000000"/>
                <w:sz w:val="28"/>
                <w:szCs w:val="28"/>
                <w:lang w:val="en-US" w:eastAsia="zh-CN" w:bidi="ar"/>
              </w:rPr>
              <w:t>3</w:t>
            </w:r>
          </w:p>
        </w:tc>
      </w:tr>
    </w:tbl>
    <w:p>
      <w:pPr>
        <w:spacing w:line="520" w:lineRule="exact"/>
        <w:rPr>
          <w:rFonts w:ascii="仿宋" w:hAnsi="仿宋" w:eastAsia="仿宋" w:cs="仿宋"/>
          <w:b/>
          <w:bCs/>
          <w:sz w:val="28"/>
          <w:szCs w:val="28"/>
        </w:rPr>
      </w:pPr>
      <w:r>
        <w:rPr>
          <w:rFonts w:hint="eastAsia" w:ascii="仿宋" w:hAnsi="仿宋" w:eastAsia="仿宋" w:cs="仿宋"/>
          <w:b/>
          <w:bCs/>
          <w:sz w:val="28"/>
          <w:szCs w:val="28"/>
        </w:rPr>
        <w:t xml:space="preserve">   </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（二）口腔医学</w:t>
      </w:r>
    </w:p>
    <w:tbl>
      <w:tblPr>
        <w:tblStyle w:val="12"/>
        <w:tblW w:w="8440" w:type="dxa"/>
        <w:jc w:val="center"/>
        <w:tblInd w:w="0" w:type="dxa"/>
        <w:tblLayout w:type="fixed"/>
        <w:tblCellMar>
          <w:top w:w="15" w:type="dxa"/>
          <w:left w:w="15" w:type="dxa"/>
          <w:bottom w:w="15" w:type="dxa"/>
          <w:right w:w="15" w:type="dxa"/>
        </w:tblCellMar>
      </w:tblPr>
      <w:tblGrid>
        <w:gridCol w:w="1653"/>
        <w:gridCol w:w="5010"/>
        <w:gridCol w:w="1777"/>
      </w:tblGrid>
      <w:tr>
        <w:tblPrEx>
          <w:tblLayout w:type="fixed"/>
          <w:tblCellMar>
            <w:top w:w="15" w:type="dxa"/>
            <w:left w:w="15" w:type="dxa"/>
            <w:bottom w:w="15" w:type="dxa"/>
            <w:right w:w="15" w:type="dxa"/>
          </w:tblCellMar>
        </w:tblPrEx>
        <w:trPr>
          <w:trHeight w:val="512"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FFFFFF"/>
          </w:tcPr>
          <w:p>
            <w:pPr>
              <w:textAlignment w:val="center"/>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2800</w:t>
            </w:r>
          </w:p>
        </w:tc>
        <w:tc>
          <w:tcPr>
            <w:tcW w:w="5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Cs/>
                <w:color w:val="000000"/>
                <w:sz w:val="28"/>
                <w:szCs w:val="28"/>
              </w:rPr>
              <w:t>口腔全科</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3</w:t>
            </w:r>
          </w:p>
        </w:tc>
      </w:tr>
    </w:tbl>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三、招收对象条件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（一）具有中华人民共和国国籍，享有公民的政治权利。</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（二）热爱医疗卫生事业，品德高尚，具有正常履行培训岗位职责的身体条件，遵纪守法。</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三）拟从事临床医疗工作的高等院校医学类专业（指临床医学类、口腔医学类）全日制本科及以上学历毕业生，或者已从事临床医疗工作，并取得执业医师资格证书，但未取得中级及以上职称，需接受培训的人员。</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（四）有下列情况之一者，不予招收。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1.现役军人。</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2.在我区或外省参加住培的在培学员或退培未满三年的学员。</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3.法律法规规定的其他情形。</w:t>
      </w:r>
    </w:p>
    <w:p>
      <w:pPr>
        <w:spacing w:line="52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四、报名流程</w:t>
      </w:r>
    </w:p>
    <w:p>
      <w:pPr>
        <w:spacing w:line="520" w:lineRule="exact"/>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（一）报名时间</w:t>
      </w:r>
      <w:r>
        <w:rPr>
          <w:rFonts w:hint="eastAsia" w:ascii="仿宋" w:hAnsi="仿宋" w:eastAsia="仿宋" w:cs="仿宋"/>
          <w:color w:val="000000" w:themeColor="text1"/>
          <w:sz w:val="28"/>
          <w:szCs w:val="28"/>
          <w14:textFill>
            <w14:solidFill>
              <w14:schemeClr w14:val="tx1"/>
            </w14:solidFill>
          </w14:textFill>
        </w:rPr>
        <w:t>：4月17日-4月28日18:00时</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（二）报名方式：</w:t>
      </w:r>
      <w:r>
        <w:rPr>
          <w:rFonts w:hint="eastAsia" w:ascii="仿宋" w:hAnsi="仿宋" w:eastAsia="仿宋" w:cs="仿宋"/>
          <w:sz w:val="28"/>
          <w:szCs w:val="28"/>
        </w:rPr>
        <w:t>网上报名</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1、2023年全区学员招收报名、审核、准考证打印、录取成绩查询等工作通过广西住院医师规范化培训平台（网址为http://gxzp.gxws.cn）统一完成。</w:t>
      </w:r>
      <w:r>
        <w:rPr>
          <w:rFonts w:hint="eastAsia" w:ascii="仿宋" w:hAnsi="仿宋" w:eastAsia="仿宋"/>
          <w:color w:val="333333"/>
          <w:sz w:val="28"/>
          <w:szCs w:val="28"/>
        </w:rPr>
        <w:t>网报流程详见附件1《广西住院医师规范化培训平台（学员端）操作手册》。</w:t>
      </w:r>
    </w:p>
    <w:p>
      <w:pPr>
        <w:spacing w:line="520" w:lineRule="exact"/>
        <w:ind w:firstLine="560" w:firstLineChars="200"/>
        <w:rPr>
          <w:rFonts w:ascii="仿宋" w:hAnsi="仿宋" w:eastAsia="仿宋" w:cs="仿宋"/>
          <w:sz w:val="28"/>
          <w:szCs w:val="28"/>
        </w:rPr>
      </w:pPr>
      <w:r>
        <w:rPr>
          <w:rFonts w:hint="eastAsia" w:ascii="仿宋" w:hAnsi="仿宋" w:eastAsia="仿宋"/>
          <w:sz w:val="28"/>
          <w:szCs w:val="28"/>
        </w:rPr>
        <w:t>注：委培人员用人单位需填写附件2《2023年单位委培住院医师预报名表》,发送到住培办电子邮箱</w:t>
      </w:r>
      <w:r>
        <w:rPr>
          <w:rFonts w:ascii="仿宋" w:hAnsi="仿宋" w:eastAsia="仿宋"/>
          <w:sz w:val="28"/>
          <w:szCs w:val="28"/>
        </w:rPr>
        <w:t>lzsgryyzpb@163.com</w:t>
      </w:r>
      <w:r>
        <w:rPr>
          <w:rFonts w:hint="eastAsia" w:ascii="仿宋" w:hAnsi="仿宋" w:eastAsia="仿宋"/>
          <w:sz w:val="28"/>
          <w:szCs w:val="28"/>
        </w:rPr>
        <w:t>，在同等考试成绩条件下，给予优先录取。</w:t>
      </w:r>
    </w:p>
    <w:p>
      <w:pPr>
        <w:spacing w:line="52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2、报名完成后请实名申请加入QQ群：1078767658，群二维码见后，考试相关通知、具体安排等均在报名成功的QQ群发布，如因未加入QQ群所致后果由报名人承担。</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（三）现场报名确认：</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 报名表（网络报名成功后下载打印签字）。</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2.个人身份证扫描件。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 毕业证、学位证扫描件（应届生提供在校证明或学生证，毕业后未取得毕业证和学位证者，将取消录取资格）。</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4.本科生需提供本科成绩单扫描件（加盖本校教务部门公章），历届有证不用。</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5.大学英语四、六级考试及其他英语水平考试成绩单扫描件。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6.计算机等级考试合格证书扫描件。</w:t>
      </w:r>
    </w:p>
    <w:p>
      <w:pPr>
        <w:spacing w:line="52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7.</w:t>
      </w:r>
      <w:r>
        <w:rPr>
          <w:rFonts w:hint="eastAsia" w:ascii="仿宋" w:hAnsi="仿宋" w:eastAsia="仿宋" w:cs="仿宋"/>
          <w:sz w:val="28"/>
          <w:szCs w:val="28"/>
        </w:rPr>
        <w:t>取得执业医师资格证及执业医师证者须提交两证扫描件。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8.个人简历电子版。</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以上材料请于</w:t>
      </w:r>
      <w:r>
        <w:rPr>
          <w:rFonts w:hint="eastAsia" w:ascii="仿宋" w:hAnsi="仿宋" w:eastAsia="仿宋" w:cs="仿宋"/>
          <w:color w:val="000000" w:themeColor="text1"/>
          <w:sz w:val="28"/>
          <w:szCs w:val="28"/>
          <w14:textFill>
            <w14:solidFill>
              <w14:schemeClr w14:val="tx1"/>
            </w14:solidFill>
          </w14:textFill>
        </w:rPr>
        <w:t xml:space="preserve"> 4月 28日 18：00 </w:t>
      </w:r>
      <w:r>
        <w:rPr>
          <w:rFonts w:hint="eastAsia" w:ascii="仿宋" w:hAnsi="仿宋" w:eastAsia="仿宋" w:cs="仿宋"/>
          <w:sz w:val="28"/>
          <w:szCs w:val="28"/>
        </w:rPr>
        <w:t>点前打包为压缩文件（建议为 ZIP 格式），并用“报考专业+姓名+电话”命名，发送至我院邮箱lzsgryyzpb@163.com.</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五、考试时间、形式及内容</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考试时间：</w:t>
      </w:r>
      <w:r>
        <w:rPr>
          <w:rFonts w:hint="eastAsia" w:ascii="仿宋" w:hAnsi="仿宋" w:eastAsia="仿宋" w:cs="仿宋"/>
          <w:color w:val="000000" w:themeColor="text1"/>
          <w:sz w:val="28"/>
          <w:szCs w:val="28"/>
          <w14:textFill>
            <w14:solidFill>
              <w14:schemeClr w14:val="tx1"/>
            </w14:solidFill>
          </w14:textFill>
        </w:rPr>
        <w:t>202</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年5月5日　</w:t>
      </w:r>
      <w:r>
        <w:rPr>
          <w:rFonts w:hint="eastAsia" w:ascii="仿宋" w:hAnsi="仿宋" w:eastAsia="仿宋" w:cs="仿宋"/>
          <w:sz w:val="28"/>
          <w:szCs w:val="28"/>
        </w:rPr>
        <w:t>　</w:t>
      </w:r>
    </w:p>
    <w:p>
      <w:pPr>
        <w:numPr>
          <w:ilvl w:val="0"/>
          <w:numId w:val="3"/>
        </w:numPr>
        <w:spacing w:line="52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理论考试：</w:t>
      </w:r>
    </w:p>
    <w:p>
      <w:pPr>
        <w:spacing w:line="520" w:lineRule="exac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考试题型：单选题和不定项选择。</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1.考试范围为第五版《医学临床“三基”训练医师分册》，涵盖所有临床知识内容。</w:t>
      </w:r>
    </w:p>
    <w:p>
      <w:pPr>
        <w:spacing w:line="520" w:lineRule="exact"/>
        <w:ind w:firstLine="560" w:firstLineChars="200"/>
        <w:rPr>
          <w:rFonts w:ascii="仿宋" w:hAnsi="仿宋" w:eastAsia="仿宋" w:cs="仿宋"/>
          <w:b/>
          <w:bCs/>
          <w:sz w:val="28"/>
          <w:szCs w:val="28"/>
        </w:rPr>
      </w:pPr>
      <w:r>
        <w:rPr>
          <w:rFonts w:hint="eastAsia" w:ascii="仿宋" w:hAnsi="仿宋" w:eastAsia="仿宋" w:cs="仿宋"/>
          <w:sz w:val="28"/>
          <w:szCs w:val="28"/>
        </w:rPr>
        <w:t>2.医技专业（包含放射、超声、病理、检验等专业）出题范围为《“三基”训练医师分册》、《“三基”训练医技分册》相关专业内容。</w:t>
      </w:r>
    </w:p>
    <w:p>
      <w:pPr>
        <w:spacing w:line="520" w:lineRule="exact"/>
        <w:ind w:firstLine="560" w:firstLineChars="200"/>
        <w:rPr>
          <w:rFonts w:ascii="仿宋" w:hAnsi="仿宋" w:eastAsia="仿宋" w:cs="仿宋"/>
          <w:b/>
          <w:bCs/>
          <w:sz w:val="28"/>
          <w:szCs w:val="28"/>
        </w:rPr>
      </w:pPr>
      <w:r>
        <w:rPr>
          <w:rFonts w:hint="eastAsia" w:ascii="仿宋" w:hAnsi="仿宋" w:eastAsia="仿宋" w:cs="仿宋"/>
          <w:sz w:val="28"/>
          <w:szCs w:val="28"/>
        </w:rPr>
        <w:t>3.口腔医学专业单独考口腔医学内容。</w:t>
      </w:r>
    </w:p>
    <w:p>
      <w:pPr>
        <w:numPr>
          <w:ilvl w:val="0"/>
          <w:numId w:val="3"/>
        </w:num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技能考试：</w:t>
      </w:r>
      <w:r>
        <w:rPr>
          <w:rFonts w:hint="eastAsia" w:ascii="仿宋" w:hAnsi="仿宋" w:eastAsia="仿宋" w:cs="仿宋"/>
          <w:sz w:val="28"/>
          <w:szCs w:val="28"/>
        </w:rPr>
        <w:t xml:space="preserve"> </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1.临床专业技能考试内容：   </w:t>
      </w:r>
    </w:p>
    <w:tbl>
      <w:tblPr>
        <w:tblStyle w:val="12"/>
        <w:tblW w:w="7631" w:type="dxa"/>
        <w:tblInd w:w="1153" w:type="dxa"/>
        <w:tblLayout w:type="fixed"/>
        <w:tblCellMar>
          <w:top w:w="15" w:type="dxa"/>
          <w:left w:w="15" w:type="dxa"/>
          <w:bottom w:w="15" w:type="dxa"/>
          <w:right w:w="15" w:type="dxa"/>
        </w:tblCellMar>
      </w:tblPr>
      <w:tblGrid>
        <w:gridCol w:w="3053"/>
        <w:gridCol w:w="2835"/>
        <w:gridCol w:w="1743"/>
      </w:tblGrid>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临床技能考试内容</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备注</w:t>
            </w:r>
          </w:p>
        </w:tc>
        <w:tc>
          <w:tcPr>
            <w:tcW w:w="1743" w:type="dxa"/>
            <w:tcBorders>
              <w:top w:val="single" w:color="000000" w:sz="4" w:space="0"/>
              <w:left w:val="single" w:color="000000" w:sz="4" w:space="0"/>
              <w:bottom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考试时间</w:t>
            </w:r>
          </w:p>
        </w:tc>
      </w:tr>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单人徒手心肺复苏</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必考</w:t>
            </w:r>
          </w:p>
        </w:tc>
        <w:tc>
          <w:tcPr>
            <w:tcW w:w="1743" w:type="dxa"/>
            <w:tcBorders>
              <w:top w:val="single" w:color="000000" w:sz="4" w:space="0"/>
              <w:left w:val="single" w:color="000000" w:sz="4" w:space="0"/>
              <w:bottom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5分钟</w:t>
            </w:r>
          </w:p>
        </w:tc>
      </w:tr>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胸（肺）部检查</w:t>
            </w:r>
          </w:p>
        </w:tc>
        <w:tc>
          <w:tcPr>
            <w:tcW w:w="2835" w:type="dxa"/>
            <w:vMerge w:val="restart"/>
            <w:tcBorders>
              <w:top w:val="single" w:color="000000" w:sz="4" w:space="0"/>
              <w:left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随机抽考其中一项</w:t>
            </w:r>
          </w:p>
        </w:tc>
        <w:tc>
          <w:tcPr>
            <w:tcW w:w="1743" w:type="dxa"/>
            <w:vMerge w:val="restart"/>
            <w:tcBorders>
              <w:top w:val="single" w:color="000000" w:sz="4" w:space="0"/>
              <w:left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8分钟</w:t>
            </w:r>
          </w:p>
        </w:tc>
      </w:tr>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心脏检查</w:t>
            </w:r>
          </w:p>
        </w:tc>
        <w:tc>
          <w:tcPr>
            <w:tcW w:w="2835" w:type="dxa"/>
            <w:vMerge w:val="continue"/>
            <w:tcBorders>
              <w:left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p>
        </w:tc>
        <w:tc>
          <w:tcPr>
            <w:tcW w:w="1743" w:type="dxa"/>
            <w:vMerge w:val="continue"/>
            <w:tcBorders>
              <w:left w:val="single" w:color="000000" w:sz="4" w:space="0"/>
              <w:right w:val="single" w:color="000000" w:sz="4" w:space="0"/>
            </w:tcBorders>
          </w:tcPr>
          <w:p>
            <w:pPr>
              <w:spacing w:line="520" w:lineRule="exact"/>
              <w:ind w:firstLine="560" w:firstLineChars="200"/>
              <w:rPr>
                <w:rFonts w:ascii="仿宋" w:hAnsi="仿宋" w:eastAsia="仿宋" w:cs="仿宋"/>
                <w:sz w:val="28"/>
                <w:szCs w:val="28"/>
              </w:rPr>
            </w:pPr>
          </w:p>
        </w:tc>
      </w:tr>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腹部检查</w:t>
            </w:r>
          </w:p>
        </w:tc>
        <w:tc>
          <w:tcPr>
            <w:tcW w:w="2835" w:type="dxa"/>
            <w:vMerge w:val="continue"/>
            <w:tcBorders>
              <w:left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p>
        </w:tc>
        <w:tc>
          <w:tcPr>
            <w:tcW w:w="1743" w:type="dxa"/>
            <w:vMerge w:val="continue"/>
            <w:tcBorders>
              <w:left w:val="single" w:color="000000" w:sz="4" w:space="0"/>
              <w:right w:val="single" w:color="000000" w:sz="4" w:space="0"/>
            </w:tcBorders>
          </w:tcPr>
          <w:p>
            <w:pPr>
              <w:spacing w:line="520" w:lineRule="exact"/>
              <w:ind w:firstLine="560" w:firstLineChars="200"/>
              <w:rPr>
                <w:rFonts w:ascii="仿宋" w:hAnsi="仿宋" w:eastAsia="仿宋" w:cs="仿宋"/>
                <w:sz w:val="28"/>
                <w:szCs w:val="28"/>
              </w:rPr>
            </w:pPr>
          </w:p>
        </w:tc>
      </w:tr>
      <w:tr>
        <w:tblPrEx>
          <w:tblLayout w:type="fixed"/>
          <w:tblCellMar>
            <w:top w:w="15" w:type="dxa"/>
            <w:left w:w="15" w:type="dxa"/>
            <w:bottom w:w="15" w:type="dxa"/>
            <w:right w:w="15" w:type="dxa"/>
          </w:tblCellMar>
        </w:tblPrEx>
        <w:trPr>
          <w:trHeight w:val="113" w:hRule="atLeast"/>
        </w:trPr>
        <w:tc>
          <w:tcPr>
            <w:tcW w:w="3053"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神经系统检查</w:t>
            </w:r>
          </w:p>
        </w:tc>
        <w:tc>
          <w:tcPr>
            <w:tcW w:w="2835" w:type="dxa"/>
            <w:vMerge w:val="continue"/>
            <w:tcBorders>
              <w:left w:val="single" w:color="000000" w:sz="4" w:space="0"/>
              <w:bottom w:val="single" w:color="auto" w:sz="4" w:space="0"/>
              <w:right w:val="single" w:color="000000" w:sz="4" w:space="0"/>
            </w:tcBorders>
            <w:vAlign w:val="center"/>
          </w:tcPr>
          <w:p>
            <w:pPr>
              <w:spacing w:line="520" w:lineRule="exact"/>
              <w:ind w:firstLine="560" w:firstLineChars="200"/>
              <w:rPr>
                <w:rFonts w:ascii="仿宋" w:hAnsi="仿宋" w:eastAsia="仿宋" w:cs="仿宋"/>
                <w:sz w:val="28"/>
                <w:szCs w:val="28"/>
              </w:rPr>
            </w:pPr>
          </w:p>
        </w:tc>
        <w:tc>
          <w:tcPr>
            <w:tcW w:w="1743" w:type="dxa"/>
            <w:tcBorders>
              <w:left w:val="single" w:color="000000" w:sz="4" w:space="0"/>
              <w:bottom w:val="single" w:color="auto" w:sz="4" w:space="0"/>
              <w:right w:val="single" w:color="000000" w:sz="4" w:space="0"/>
            </w:tcBorders>
          </w:tcPr>
          <w:p>
            <w:pPr>
              <w:spacing w:line="520" w:lineRule="exact"/>
              <w:ind w:firstLine="560" w:firstLineChars="200"/>
              <w:rPr>
                <w:rFonts w:ascii="仿宋" w:hAnsi="仿宋" w:eastAsia="仿宋" w:cs="仿宋"/>
                <w:sz w:val="28"/>
                <w:szCs w:val="28"/>
              </w:rPr>
            </w:pPr>
          </w:p>
        </w:tc>
      </w:tr>
    </w:tbl>
    <w:p>
      <w:pPr>
        <w:spacing w:line="520" w:lineRule="exact"/>
        <w:ind w:left="480" w:leftChars="200"/>
        <w:rPr>
          <w:rFonts w:ascii="仿宋" w:hAnsi="仿宋" w:eastAsia="仿宋" w:cs="仿宋"/>
          <w:color w:val="000000"/>
          <w:sz w:val="28"/>
          <w:szCs w:val="28"/>
        </w:rPr>
      </w:pPr>
      <w:r>
        <w:rPr>
          <w:rFonts w:hint="eastAsia" w:ascii="仿宋" w:hAnsi="仿宋" w:eastAsia="仿宋" w:cs="仿宋"/>
          <w:sz w:val="28"/>
          <w:szCs w:val="28"/>
        </w:rPr>
        <w:t>2.口腔医学技能考试：</w:t>
      </w:r>
    </w:p>
    <w:tbl>
      <w:tblPr>
        <w:tblStyle w:val="12"/>
        <w:tblW w:w="7632" w:type="dxa"/>
        <w:tblInd w:w="1153" w:type="dxa"/>
        <w:tblLayout w:type="fixed"/>
        <w:tblCellMar>
          <w:top w:w="15" w:type="dxa"/>
          <w:left w:w="15" w:type="dxa"/>
          <w:bottom w:w="15" w:type="dxa"/>
          <w:right w:w="15" w:type="dxa"/>
        </w:tblCellMar>
      </w:tblPr>
      <w:tblGrid>
        <w:gridCol w:w="3052"/>
        <w:gridCol w:w="2821"/>
        <w:gridCol w:w="1759"/>
      </w:tblGrid>
      <w:tr>
        <w:tblPrEx>
          <w:tblLayout w:type="fixed"/>
          <w:tblCellMar>
            <w:top w:w="15" w:type="dxa"/>
            <w:left w:w="15" w:type="dxa"/>
            <w:bottom w:w="15" w:type="dxa"/>
            <w:right w:w="15" w:type="dxa"/>
          </w:tblCellMar>
        </w:tblPrEx>
        <w:trPr>
          <w:trHeight w:val="113" w:hRule="atLeast"/>
        </w:trPr>
        <w:tc>
          <w:tcPr>
            <w:tcW w:w="3052"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口腔技能考试内容</w:t>
            </w:r>
          </w:p>
        </w:tc>
        <w:tc>
          <w:tcPr>
            <w:tcW w:w="282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备注</w:t>
            </w:r>
          </w:p>
        </w:tc>
        <w:tc>
          <w:tcPr>
            <w:tcW w:w="1759" w:type="dxa"/>
            <w:tcBorders>
              <w:top w:val="single" w:color="000000" w:sz="4" w:space="0"/>
              <w:left w:val="single" w:color="000000" w:sz="4" w:space="0"/>
              <w:bottom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考试时间</w:t>
            </w:r>
          </w:p>
        </w:tc>
      </w:tr>
      <w:tr>
        <w:tblPrEx>
          <w:tblLayout w:type="fixed"/>
          <w:tblCellMar>
            <w:top w:w="15" w:type="dxa"/>
            <w:left w:w="15" w:type="dxa"/>
            <w:bottom w:w="15" w:type="dxa"/>
            <w:right w:w="15" w:type="dxa"/>
          </w:tblCellMar>
        </w:tblPrEx>
        <w:trPr>
          <w:trHeight w:val="113" w:hRule="atLeast"/>
        </w:trPr>
        <w:tc>
          <w:tcPr>
            <w:tcW w:w="3052"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单人徒手心肺复苏</w:t>
            </w:r>
          </w:p>
        </w:tc>
        <w:tc>
          <w:tcPr>
            <w:tcW w:w="2821"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必考</w:t>
            </w:r>
          </w:p>
        </w:tc>
        <w:tc>
          <w:tcPr>
            <w:tcW w:w="1759" w:type="dxa"/>
            <w:tcBorders>
              <w:top w:val="single" w:color="000000" w:sz="4" w:space="0"/>
              <w:left w:val="single" w:color="000000" w:sz="4" w:space="0"/>
              <w:bottom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5分钟</w:t>
            </w:r>
          </w:p>
        </w:tc>
      </w:tr>
      <w:tr>
        <w:tblPrEx>
          <w:tblLayout w:type="fixed"/>
          <w:tblCellMar>
            <w:top w:w="15" w:type="dxa"/>
            <w:left w:w="15" w:type="dxa"/>
            <w:bottom w:w="15" w:type="dxa"/>
            <w:right w:w="15" w:type="dxa"/>
          </w:tblCellMar>
        </w:tblPrEx>
        <w:trPr>
          <w:trHeight w:val="113" w:hRule="atLeast"/>
        </w:trPr>
        <w:tc>
          <w:tcPr>
            <w:tcW w:w="3052"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取模、灌模</w:t>
            </w:r>
          </w:p>
        </w:tc>
        <w:tc>
          <w:tcPr>
            <w:tcW w:w="2821"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随机抽考其中一项</w:t>
            </w:r>
          </w:p>
        </w:tc>
        <w:tc>
          <w:tcPr>
            <w:tcW w:w="1759" w:type="dxa"/>
            <w:vMerge w:val="restart"/>
            <w:tcBorders>
              <w:top w:val="single" w:color="000000" w:sz="4" w:space="0"/>
              <w:left w:val="single" w:color="000000" w:sz="4" w:space="0"/>
              <w:right w:val="single" w:color="000000" w:sz="4" w:space="0"/>
            </w:tcBorders>
          </w:tcPr>
          <w:p>
            <w:pPr>
              <w:spacing w:line="520" w:lineRule="exact"/>
              <w:ind w:firstLine="560" w:firstLineChars="200"/>
              <w:jc w:val="center"/>
              <w:rPr>
                <w:rFonts w:ascii="仿宋" w:hAnsi="仿宋" w:eastAsia="仿宋" w:cs="仿宋"/>
                <w:sz w:val="28"/>
                <w:szCs w:val="28"/>
              </w:rPr>
            </w:pPr>
          </w:p>
          <w:p>
            <w:pPr>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8分钟</w:t>
            </w:r>
          </w:p>
        </w:tc>
      </w:tr>
      <w:tr>
        <w:tblPrEx>
          <w:tblLayout w:type="fixed"/>
          <w:tblCellMar>
            <w:top w:w="15" w:type="dxa"/>
            <w:left w:w="15" w:type="dxa"/>
            <w:bottom w:w="15" w:type="dxa"/>
            <w:right w:w="15" w:type="dxa"/>
          </w:tblCellMar>
        </w:tblPrEx>
        <w:trPr>
          <w:trHeight w:val="113" w:hRule="atLeast"/>
        </w:trPr>
        <w:tc>
          <w:tcPr>
            <w:tcW w:w="3052"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口内缝合术</w:t>
            </w:r>
          </w:p>
        </w:tc>
        <w:tc>
          <w:tcPr>
            <w:tcW w:w="2821"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p>
        </w:tc>
        <w:tc>
          <w:tcPr>
            <w:tcW w:w="1759" w:type="dxa"/>
            <w:vMerge w:val="continue"/>
            <w:tcBorders>
              <w:left w:val="single" w:color="000000" w:sz="4" w:space="0"/>
              <w:right w:val="single" w:color="000000" w:sz="4" w:space="0"/>
            </w:tcBorders>
          </w:tcPr>
          <w:p>
            <w:pPr>
              <w:spacing w:line="520" w:lineRule="exact"/>
              <w:ind w:firstLine="560" w:firstLineChars="200"/>
              <w:rPr>
                <w:rFonts w:ascii="仿宋" w:hAnsi="仿宋" w:eastAsia="仿宋" w:cs="仿宋"/>
                <w:sz w:val="28"/>
                <w:szCs w:val="28"/>
              </w:rPr>
            </w:pPr>
          </w:p>
        </w:tc>
      </w:tr>
      <w:tr>
        <w:tblPrEx>
          <w:tblLayout w:type="fixed"/>
          <w:tblCellMar>
            <w:top w:w="15" w:type="dxa"/>
            <w:left w:w="15" w:type="dxa"/>
            <w:bottom w:w="15" w:type="dxa"/>
            <w:right w:w="15" w:type="dxa"/>
          </w:tblCellMar>
        </w:tblPrEx>
        <w:trPr>
          <w:trHeight w:val="113" w:hRule="atLeast"/>
        </w:trPr>
        <w:tc>
          <w:tcPr>
            <w:tcW w:w="3052"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开髓引流术</w:t>
            </w:r>
          </w:p>
        </w:tc>
        <w:tc>
          <w:tcPr>
            <w:tcW w:w="2821" w:type="dxa"/>
            <w:vMerge w:val="continue"/>
            <w:tcBorders>
              <w:top w:val="single" w:color="000000" w:sz="4" w:space="0"/>
              <w:left w:val="single" w:color="000000" w:sz="4" w:space="0"/>
              <w:bottom w:val="single" w:color="000000" w:sz="4" w:space="0"/>
              <w:right w:val="single" w:color="000000" w:sz="4" w:space="0"/>
            </w:tcBorders>
            <w:vAlign w:val="center"/>
          </w:tcPr>
          <w:p>
            <w:pPr>
              <w:spacing w:line="520" w:lineRule="exact"/>
              <w:ind w:firstLine="560" w:firstLineChars="200"/>
              <w:rPr>
                <w:rFonts w:ascii="仿宋" w:hAnsi="仿宋" w:eastAsia="仿宋" w:cs="仿宋"/>
                <w:sz w:val="28"/>
                <w:szCs w:val="28"/>
              </w:rPr>
            </w:pPr>
          </w:p>
        </w:tc>
        <w:tc>
          <w:tcPr>
            <w:tcW w:w="1759" w:type="dxa"/>
            <w:vMerge w:val="continue"/>
            <w:tcBorders>
              <w:left w:val="single" w:color="000000" w:sz="4" w:space="0"/>
              <w:bottom w:val="single" w:color="000000" w:sz="4" w:space="0"/>
              <w:right w:val="single" w:color="000000" w:sz="4" w:space="0"/>
            </w:tcBorders>
          </w:tcPr>
          <w:p>
            <w:pPr>
              <w:spacing w:line="520" w:lineRule="exact"/>
              <w:ind w:firstLine="560" w:firstLineChars="200"/>
              <w:rPr>
                <w:rFonts w:ascii="仿宋" w:hAnsi="仿宋" w:eastAsia="仿宋" w:cs="仿宋"/>
                <w:sz w:val="28"/>
                <w:szCs w:val="28"/>
              </w:rPr>
            </w:pPr>
          </w:p>
        </w:tc>
      </w:tr>
    </w:tbl>
    <w:p>
      <w:pPr>
        <w:numPr>
          <w:ilvl w:val="0"/>
          <w:numId w:val="3"/>
        </w:num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面试</w:t>
      </w:r>
      <w:r>
        <w:rPr>
          <w:rFonts w:hint="eastAsia" w:ascii="仿宋" w:hAnsi="仿宋" w:eastAsia="仿宋" w:cs="仿宋"/>
          <w:sz w:val="28"/>
          <w:szCs w:val="28"/>
        </w:rPr>
        <w:t>：临床综合能力考核（主要考察临床综合能力，包括临床思维、专业知识掌握、应变、表达能力等）。</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六、录取：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根据考试结果及临床培训经历择优确定拟录取名单，体检合格且在柳州市工人医院外网公示5日无异议后，上报医院住培委员会讨论后予以录取，录取名单在广西住院医师规范化培训平台（http://gxzp.gxws.cn）上予以公布。</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录取原则：各专业基地，根据报名者的考核、面试等综合成绩进行择优录取，所报专业如录取满员，其他专业录取未满，根据报名人员自愿服从调剂培训方向进行重新调配，不服从调剂的人员视为自动放弃录取资格。</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七、培养时间及培训模式</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（一）.</w:t>
      </w:r>
      <w:r>
        <w:rPr>
          <w:rFonts w:hint="eastAsia" w:ascii="仿宋" w:hAnsi="仿宋" w:eastAsia="仿宋" w:cs="仿宋"/>
          <w:sz w:val="28"/>
          <w:szCs w:val="28"/>
        </w:rPr>
        <w:t>培养时间：</w:t>
      </w:r>
      <w:r>
        <w:rPr>
          <w:rFonts w:hint="eastAsia" w:ascii="仿宋" w:hAnsi="仿宋" w:eastAsia="仿宋" w:cs="仿宋"/>
          <w:color w:val="000000" w:themeColor="text1"/>
          <w:sz w:val="28"/>
          <w:szCs w:val="28"/>
          <w14:textFill>
            <w14:solidFill>
              <w14:schemeClr w14:val="tx1"/>
            </w14:solidFill>
          </w14:textFill>
        </w:rPr>
        <w:t>36个月</w:t>
      </w:r>
    </w:p>
    <w:p>
      <w:pPr>
        <w:spacing w:line="520" w:lineRule="exact"/>
        <w:ind w:firstLine="562" w:firstLineChars="200"/>
        <w:rPr>
          <w:rFonts w:ascii="仿宋" w:hAnsi="仿宋" w:eastAsia="仿宋" w:cs="仿宋"/>
          <w:sz w:val="28"/>
          <w:szCs w:val="28"/>
        </w:rPr>
      </w:pPr>
      <w:r>
        <w:rPr>
          <w:rFonts w:hint="eastAsia" w:ascii="仿宋" w:hAnsi="仿宋" w:eastAsia="仿宋" w:cs="仿宋"/>
          <w:b/>
          <w:bCs/>
          <w:sz w:val="28"/>
          <w:szCs w:val="28"/>
        </w:rPr>
        <w:t>（二）</w:t>
      </w:r>
      <w:r>
        <w:rPr>
          <w:rFonts w:ascii="仿宋" w:hAnsi="仿宋" w:eastAsia="仿宋" w:cs="仿宋"/>
          <w:b/>
          <w:bCs/>
          <w:sz w:val="28"/>
          <w:szCs w:val="28"/>
        </w:rPr>
        <w:t>.</w:t>
      </w:r>
      <w:r>
        <w:rPr>
          <w:rFonts w:hint="eastAsia" w:ascii="仿宋" w:hAnsi="仿宋" w:eastAsia="仿宋" w:cs="仿宋"/>
          <w:sz w:val="28"/>
          <w:szCs w:val="28"/>
        </w:rPr>
        <w:t>培训模式：</w:t>
      </w:r>
      <w:r>
        <w:rPr>
          <w:rFonts w:hint="eastAsia" w:ascii="仿宋" w:hAnsi="仿宋" w:eastAsia="仿宋" w:cs="仿宋"/>
          <w:sz w:val="28"/>
          <w:szCs w:val="28"/>
          <w:lang w:eastAsia="zh-CN"/>
        </w:rPr>
        <w:t>按照</w:t>
      </w:r>
      <w:r>
        <w:rPr>
          <w:rFonts w:hint="eastAsia"/>
        </w:rPr>
        <w:t>《住院医师规范化培训内容与标准 (2022年版）》</w:t>
      </w:r>
      <w:r>
        <w:rPr>
          <w:rFonts w:hint="eastAsia" w:ascii="仿宋" w:hAnsi="仿宋" w:eastAsia="仿宋" w:cs="仿宋"/>
          <w:sz w:val="28"/>
          <w:szCs w:val="28"/>
        </w:rPr>
        <w:t>的要求执行。</w:t>
      </w:r>
    </w:p>
    <w:p>
      <w:pPr>
        <w:spacing w:line="520" w:lineRule="exact"/>
        <w:ind w:firstLine="562" w:firstLineChars="200"/>
        <w:rPr>
          <w:rFonts w:ascii="仿宋" w:hAnsi="仿宋" w:eastAsia="仿宋" w:cs="仿宋"/>
          <w:sz w:val="28"/>
          <w:szCs w:val="28"/>
        </w:rPr>
      </w:pPr>
      <w:r>
        <w:rPr>
          <w:rFonts w:hint="eastAsia" w:ascii="仿宋" w:hAnsi="仿宋" w:eastAsia="仿宋" w:cs="仿宋"/>
          <w:b/>
          <w:bCs/>
          <w:color w:val="0C0C0C"/>
          <w:sz w:val="28"/>
          <w:szCs w:val="28"/>
        </w:rPr>
        <w:t>（三）.</w:t>
      </w:r>
      <w:r>
        <w:rPr>
          <w:rFonts w:hint="eastAsia" w:ascii="仿宋" w:hAnsi="仿宋" w:eastAsia="仿宋" w:cs="仿宋"/>
          <w:sz w:val="28"/>
          <w:szCs w:val="28"/>
        </w:rPr>
        <w:t>完成规范化培训并经过全国统一的结业考核合格者，颁发由国家卫生健康委统一印制的《住院医师规范化培训合格证书》。</w:t>
      </w:r>
    </w:p>
    <w:p>
      <w:pPr>
        <w:spacing w:line="520" w:lineRule="exact"/>
        <w:ind w:firstLine="560" w:firstLineChars="200"/>
        <w:rPr>
          <w:rFonts w:ascii="仿宋" w:hAnsi="仿宋" w:eastAsia="仿宋" w:cs="仿宋"/>
          <w:sz w:val="28"/>
          <w:szCs w:val="28"/>
        </w:rPr>
      </w:pPr>
      <w:r>
        <w:rPr>
          <w:rFonts w:hint="eastAsia" w:ascii="仿宋" w:hAnsi="仿宋" w:eastAsia="仿宋"/>
          <w:color w:val="333333"/>
          <w:sz w:val="28"/>
          <w:szCs w:val="28"/>
        </w:rPr>
        <w:t>全科、儿科、急诊、麻醉科、病理科等紧缺专业的社会化人员培训结束后医院将择优留本院工作，考核优秀的人员可提前签订留院工作就业协议书；其他专业社会化人员培训结束后可择优留本院工作。</w:t>
      </w:r>
    </w:p>
    <w:p>
      <w:pPr>
        <w:spacing w:line="520" w:lineRule="exact"/>
        <w:ind w:firstLine="562" w:firstLineChars="200"/>
        <w:rPr>
          <w:rFonts w:ascii="仿宋" w:hAnsi="仿宋" w:eastAsia="仿宋"/>
          <w:color w:val="333333"/>
          <w:sz w:val="28"/>
          <w:szCs w:val="28"/>
        </w:rPr>
      </w:pPr>
      <w:r>
        <w:rPr>
          <w:rFonts w:hint="eastAsia" w:ascii="仿宋" w:hAnsi="仿宋" w:eastAsia="仿宋"/>
          <w:b/>
          <w:bCs/>
          <w:color w:val="333333"/>
          <w:sz w:val="28"/>
          <w:szCs w:val="28"/>
        </w:rPr>
        <w:t>（四）.</w:t>
      </w:r>
      <w:r>
        <w:rPr>
          <w:rFonts w:hint="eastAsia" w:ascii="仿宋" w:hAnsi="仿宋" w:eastAsia="仿宋"/>
          <w:color w:val="333333"/>
          <w:sz w:val="28"/>
          <w:szCs w:val="28"/>
        </w:rPr>
        <w:t>其他注意事项</w:t>
      </w:r>
    </w:p>
    <w:p>
      <w:pPr>
        <w:pStyle w:val="8"/>
        <w:spacing w:before="0" w:beforeAutospacing="0" w:after="0" w:afterAutospacing="0" w:line="520" w:lineRule="exact"/>
        <w:ind w:firstLine="560" w:firstLineChars="200"/>
        <w:jc w:val="both"/>
        <w:rPr>
          <w:rFonts w:ascii="仿宋" w:hAnsi="仿宋" w:eastAsia="仿宋"/>
          <w:color w:val="333333"/>
          <w:sz w:val="28"/>
          <w:szCs w:val="28"/>
        </w:rPr>
      </w:pPr>
      <w:r>
        <w:rPr>
          <w:rFonts w:hint="eastAsia" w:ascii="仿宋" w:hAnsi="仿宋" w:eastAsia="仿宋"/>
          <w:color w:val="333333"/>
          <w:sz w:val="28"/>
          <w:szCs w:val="28"/>
        </w:rPr>
        <w:t>1</w:t>
      </w:r>
      <w:r>
        <w:rPr>
          <w:rFonts w:ascii="仿宋" w:hAnsi="仿宋" w:eastAsia="仿宋"/>
          <w:color w:val="333333"/>
          <w:sz w:val="28"/>
          <w:szCs w:val="28"/>
        </w:rPr>
        <w:t>.</w:t>
      </w:r>
      <w:r>
        <w:rPr>
          <w:rFonts w:hint="eastAsia" w:ascii="仿宋" w:hAnsi="仿宋" w:eastAsia="仿宋"/>
          <w:color w:val="333333"/>
          <w:sz w:val="28"/>
          <w:szCs w:val="28"/>
        </w:rPr>
        <w:t>住培合格证书是中级职称聘用条件之一。</w:t>
      </w:r>
    </w:p>
    <w:p>
      <w:pPr>
        <w:pStyle w:val="8"/>
        <w:spacing w:before="0" w:beforeAutospacing="0" w:after="0" w:afterAutospacing="0" w:line="520" w:lineRule="exact"/>
        <w:ind w:firstLine="560" w:firstLineChars="200"/>
        <w:jc w:val="both"/>
        <w:rPr>
          <w:rFonts w:ascii="仿宋" w:hAnsi="仿宋" w:eastAsia="仿宋"/>
          <w:color w:val="333333"/>
          <w:sz w:val="28"/>
          <w:szCs w:val="28"/>
        </w:rPr>
      </w:pPr>
      <w:r>
        <w:rPr>
          <w:rFonts w:hint="eastAsia" w:ascii="仿宋" w:hAnsi="仿宋" w:eastAsia="仿宋"/>
          <w:color w:val="333333"/>
          <w:sz w:val="28"/>
          <w:szCs w:val="28"/>
        </w:rPr>
        <w:t>2.报考人员要如实向培训基地提供个人信息与相关资料，如有弄虚作假等行为，产生一切后果由自身负责；并保证在培训期间严格遵守国家的各项法律法规和培训基地的各种规章制度，服从培训基地的统一管理、培训及工作安排，认真履行职责，完成培训和工作任务。</w:t>
      </w:r>
    </w:p>
    <w:p>
      <w:pPr>
        <w:pStyle w:val="8"/>
        <w:spacing w:before="0" w:beforeAutospacing="0" w:after="0" w:afterAutospacing="0" w:line="520" w:lineRule="exact"/>
        <w:ind w:firstLine="560" w:firstLineChars="200"/>
        <w:jc w:val="both"/>
        <w:rPr>
          <w:rFonts w:ascii="仿宋" w:hAnsi="仿宋" w:eastAsia="仿宋"/>
          <w:color w:val="333333"/>
          <w:sz w:val="28"/>
          <w:szCs w:val="28"/>
        </w:rPr>
      </w:pPr>
      <w:r>
        <w:rPr>
          <w:rFonts w:ascii="仿宋" w:hAnsi="仿宋" w:eastAsia="仿宋"/>
          <w:color w:val="333333"/>
          <w:sz w:val="28"/>
          <w:szCs w:val="28"/>
        </w:rPr>
        <w:t>3</w:t>
      </w:r>
      <w:r>
        <w:rPr>
          <w:rFonts w:hint="eastAsia" w:ascii="仿宋" w:hAnsi="仿宋" w:eastAsia="仿宋"/>
          <w:color w:val="333333"/>
          <w:sz w:val="28"/>
          <w:szCs w:val="28"/>
        </w:rPr>
        <w:t>.因个人原因退出国家住院医师规范化培训基地的人员，按国家有关规定，3年内将不能再次报考国家住院医师规范化培训并退还住培期间所有费用。报考我基地的人员，一经查实有上述情况，将取消报名资格，并一切后果自负。</w:t>
      </w:r>
    </w:p>
    <w:p>
      <w:pPr>
        <w:spacing w:line="520" w:lineRule="exact"/>
        <w:ind w:firstLine="560" w:firstLineChars="200"/>
        <w:rPr>
          <w:rFonts w:ascii="仿宋" w:hAnsi="仿宋" w:eastAsia="仿宋" w:cs="仿宋"/>
          <w:color w:val="0C0C0C"/>
          <w:sz w:val="28"/>
          <w:szCs w:val="28"/>
        </w:rPr>
      </w:pPr>
      <w:r>
        <w:rPr>
          <w:rFonts w:ascii="仿宋" w:hAnsi="仿宋" w:eastAsia="仿宋" w:cs="仿宋"/>
          <w:color w:val="0C0C0C"/>
          <w:sz w:val="28"/>
          <w:szCs w:val="28"/>
        </w:rPr>
        <w:t>4</w:t>
      </w:r>
      <w:r>
        <w:rPr>
          <w:rFonts w:hint="eastAsia" w:ascii="仿宋" w:hAnsi="仿宋" w:eastAsia="仿宋" w:cs="仿宋"/>
          <w:color w:val="0C0C0C"/>
          <w:sz w:val="28"/>
          <w:szCs w:val="28"/>
        </w:rPr>
        <w:t>.得到正式录取的人员不得再次参加下一批次的招收考核。</w:t>
      </w:r>
    </w:p>
    <w:p>
      <w:pPr>
        <w:spacing w:line="520" w:lineRule="exact"/>
        <w:ind w:firstLine="560" w:firstLineChars="200"/>
        <w:rPr>
          <w:rFonts w:ascii="仿宋" w:hAnsi="仿宋" w:eastAsia="仿宋" w:cs="仿宋"/>
          <w:color w:val="0C0C0C"/>
          <w:sz w:val="28"/>
          <w:szCs w:val="28"/>
        </w:rPr>
      </w:pPr>
      <w:r>
        <w:rPr>
          <w:rFonts w:ascii="仿宋" w:hAnsi="仿宋" w:eastAsia="仿宋" w:cs="仿宋"/>
          <w:color w:val="0C0C0C"/>
          <w:sz w:val="28"/>
          <w:szCs w:val="28"/>
        </w:rPr>
        <w:t>5</w:t>
      </w:r>
      <w:r>
        <w:rPr>
          <w:rFonts w:hint="eastAsia" w:ascii="仿宋" w:hAnsi="仿宋" w:eastAsia="仿宋" w:cs="仿宋"/>
          <w:color w:val="0C0C0C"/>
          <w:sz w:val="28"/>
          <w:szCs w:val="28"/>
        </w:rPr>
        <w:t>.如招收录取后无故不按时报到者，视为自动放弃本次培训资格，按照违约退培处理，3年内不得参加住院医师规范化培训。</w:t>
      </w:r>
    </w:p>
    <w:p>
      <w:pPr>
        <w:spacing w:line="52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.规定时间内未按照要求完成培训和考核不合格者，培训时间可顺延，顺延时间一般不超过3年，顺延期间费用个人承担。</w:t>
      </w:r>
    </w:p>
    <w:p>
      <w:pPr>
        <w:pStyle w:val="8"/>
        <w:spacing w:before="0" w:beforeAutospacing="0" w:after="0" w:afterAutospacing="0" w:line="520" w:lineRule="exact"/>
        <w:ind w:firstLine="560" w:firstLineChars="200"/>
        <w:jc w:val="both"/>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.医院鼓励并创造条件给住培学员参加同等学力人员申请专业硕士学位的学习，学习费用自理。</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八、联系方式</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通讯地址：柳州市柳南区和平路156号，柳州市工人医院教学部（医院行政办公楼2楼），邮编545005，联系人：杨仕福（</w:t>
      </w:r>
      <w:bookmarkStart w:id="0" w:name="_Hlk35290235"/>
      <w:r>
        <w:rPr>
          <w:rFonts w:hint="eastAsia" w:ascii="仿宋" w:hAnsi="仿宋" w:eastAsia="仿宋" w:cs="仿宋"/>
          <w:sz w:val="28"/>
          <w:szCs w:val="28"/>
        </w:rPr>
        <w:t>0772-</w:t>
      </w:r>
      <w:bookmarkEnd w:id="0"/>
      <w:r>
        <w:rPr>
          <w:rFonts w:hint="eastAsia" w:ascii="仿宋" w:hAnsi="仿宋" w:eastAsia="仿宋" w:cs="仿宋"/>
          <w:sz w:val="28"/>
          <w:szCs w:val="28"/>
        </w:rPr>
        <w:t>3810276</w:t>
      </w:r>
      <w:r>
        <w:rPr>
          <w:rFonts w:hint="eastAsia"/>
          <w:sz w:val="28"/>
          <w:szCs w:val="28"/>
        </w:rPr>
        <w:t>）</w:t>
      </w:r>
      <w:r>
        <w:rPr>
          <w:rFonts w:hint="eastAsia" w:ascii="仿宋" w:hAnsi="仿宋" w:eastAsia="仿宋" w:cs="仿宋"/>
          <w:sz w:val="28"/>
          <w:szCs w:val="28"/>
        </w:rPr>
        <w:t>、韦露薇（1</w:t>
      </w:r>
      <w:r>
        <w:rPr>
          <w:rFonts w:ascii="仿宋" w:hAnsi="仿宋" w:eastAsia="仿宋" w:cs="仿宋"/>
          <w:sz w:val="28"/>
          <w:szCs w:val="28"/>
        </w:rPr>
        <w:t>8177299158</w:t>
      </w:r>
      <w:r>
        <w:rPr>
          <w:rFonts w:hint="eastAsia" w:ascii="仿宋" w:hAnsi="仿宋" w:eastAsia="仿宋" w:cs="仿宋"/>
          <w:sz w:val="28"/>
          <w:szCs w:val="28"/>
        </w:rPr>
        <w:t>、0772-3810075）</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附件1：广西住院医师规范化培训平台（学员端）操作手册</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附件2：2023年单位委培住院医师预报名表</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附件3：柳州市工人医院发各单位住培委培协议书（委培人员）</w:t>
      </w:r>
    </w:p>
    <w:p>
      <w:pPr>
        <w:spacing w:line="520" w:lineRule="exact"/>
        <w:ind w:firstLine="560" w:firstLineChars="200"/>
        <w:jc w:val="right"/>
        <w:rPr>
          <w:rFonts w:ascii="仿宋" w:hAnsi="仿宋" w:eastAsia="仿宋" w:cs="仿宋"/>
          <w:sz w:val="28"/>
          <w:szCs w:val="28"/>
        </w:rPr>
      </w:pPr>
    </w:p>
    <w:p>
      <w:pPr>
        <w:spacing w:line="52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 xml:space="preserve">                      柳州市工人医院</w:t>
      </w:r>
    </w:p>
    <w:p>
      <w:pPr>
        <w:spacing w:line="52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2023年</w:t>
      </w:r>
      <w:r>
        <w:rPr>
          <w:rFonts w:ascii="仿宋" w:hAnsi="仿宋" w:eastAsia="仿宋" w:cs="仿宋"/>
          <w:sz w:val="28"/>
          <w:szCs w:val="28"/>
        </w:rPr>
        <w:t>4</w:t>
      </w:r>
      <w:r>
        <w:rPr>
          <w:rFonts w:hint="eastAsia" w:ascii="仿宋" w:hAnsi="仿宋" w:eastAsia="仿宋" w:cs="仿宋"/>
          <w:sz w:val="28"/>
          <w:szCs w:val="28"/>
        </w:rPr>
        <w:t>月</w:t>
      </w:r>
      <w:r>
        <w:rPr>
          <w:rFonts w:ascii="仿宋" w:hAnsi="仿宋" w:eastAsia="仿宋" w:cs="仿宋"/>
          <w:sz w:val="28"/>
          <w:szCs w:val="28"/>
        </w:rPr>
        <w:t>4</w:t>
      </w:r>
      <w:r>
        <w:rPr>
          <w:rFonts w:hint="eastAsia" w:ascii="仿宋" w:hAnsi="仿宋" w:eastAsia="仿宋" w:cs="仿宋"/>
          <w:sz w:val="28"/>
          <w:szCs w:val="28"/>
        </w:rPr>
        <w:t>日</w:t>
      </w:r>
    </w:p>
    <w:p>
      <w:pPr>
        <w:pStyle w:val="8"/>
        <w:spacing w:before="0" w:beforeAutospacing="0" w:after="300" w:afterAutospacing="0" w:line="525" w:lineRule="atLeast"/>
        <w:jc w:val="both"/>
        <w:rPr>
          <w:rFonts w:ascii="仿宋" w:hAnsi="仿宋" w:eastAsia="仿宋" w:cs="仿宋"/>
          <w:b/>
          <w:bCs/>
          <w:sz w:val="28"/>
          <w:szCs w:val="28"/>
        </w:rPr>
      </w:pPr>
      <w:r>
        <w:rPr>
          <w:rFonts w:hint="eastAsia" w:ascii="仿宋" w:hAnsi="仿宋" w:eastAsia="仿宋" w:cs="仿宋"/>
          <w:sz w:val="28"/>
          <w:szCs w:val="28"/>
        </w:rPr>
        <w:t>报名成功后加入此群：</w:t>
      </w:r>
      <w:r>
        <w:rPr>
          <w:rFonts w:hint="eastAsia" w:ascii="仿宋" w:hAnsi="仿宋" w:eastAsia="仿宋" w:cs="仿宋"/>
          <w:b/>
          <w:bCs/>
          <w:sz w:val="28"/>
          <w:szCs w:val="28"/>
        </w:rPr>
        <w:t>1078767658</w:t>
      </w:r>
    </w:p>
    <w:p>
      <w:pPr>
        <w:pStyle w:val="8"/>
        <w:spacing w:before="0" w:beforeAutospacing="0" w:after="300" w:afterAutospacing="0" w:line="525" w:lineRule="atLeast"/>
        <w:jc w:val="both"/>
        <w:rPr>
          <w:rFonts w:ascii="仿宋" w:hAnsi="仿宋" w:eastAsia="仿宋" w:cs="仿宋"/>
          <w:sz w:val="28"/>
          <w:szCs w:val="28"/>
        </w:rPr>
      </w:pPr>
      <w:r>
        <w:rPr>
          <w:rFonts w:hint="eastAsia" w:ascii="仿宋" w:hAnsi="仿宋" w:eastAsia="仿宋" w:cs="仿宋"/>
          <w:sz w:val="28"/>
          <w:szCs w:val="28"/>
        </w:rPr>
        <w:t>入群后均需实名制，修改群名片：学校+专业+姓名</w:t>
      </w:r>
    </w:p>
    <w:p>
      <w:pPr>
        <w:jc w:val="center"/>
        <w:rPr>
          <w:rFonts w:hint="eastAsia" w:ascii="仿宋" w:hAnsi="仿宋" w:eastAsia="仿宋" w:cs="仿宋"/>
          <w:sz w:val="30"/>
          <w:szCs w:val="30"/>
          <w:lang w:eastAsia="zh-CN"/>
        </w:rPr>
      </w:pPr>
      <w:bookmarkStart w:id="1" w:name="_GoBack"/>
      <w:r>
        <w:rPr>
          <w:rFonts w:hint="eastAsia" w:ascii="仿宋" w:hAnsi="仿宋" w:eastAsia="仿宋" w:cs="仿宋"/>
          <w:sz w:val="30"/>
          <w:szCs w:val="30"/>
          <w:lang w:eastAsia="zh-CN"/>
        </w:rPr>
        <w:drawing>
          <wp:inline distT="0" distB="0" distL="114300" distR="114300">
            <wp:extent cx="2266950" cy="2381250"/>
            <wp:effectExtent l="0" t="0" r="0" b="0"/>
            <wp:docPr id="2" name="图片 2" descr="2023柳工医住培招生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3柳工医住培招生群群聊二维码"/>
                    <pic:cNvPicPr>
                      <a:picLocks noChangeAspect="1"/>
                    </pic:cNvPicPr>
                  </pic:nvPicPr>
                  <pic:blipFill>
                    <a:blip r:embed="rId6"/>
                    <a:stretch>
                      <a:fillRect/>
                    </a:stretch>
                  </pic:blipFill>
                  <pic:spPr>
                    <a:xfrm>
                      <a:off x="0" y="0"/>
                      <a:ext cx="2266950" cy="2381250"/>
                    </a:xfrm>
                    <a:prstGeom prst="rect">
                      <a:avLst/>
                    </a:prstGeom>
                  </pic:spPr>
                </pic:pic>
              </a:graphicData>
            </a:graphic>
          </wp:inline>
        </w:drawing>
      </w:r>
      <w:bookmarkEnd w:id="1"/>
    </w:p>
    <w:sectPr>
      <w:footerReference r:id="rId3" w:type="default"/>
      <w:footerReference r:id="rId4" w:type="even"/>
      <w:pgSz w:w="11906" w:h="16838"/>
      <w:pgMar w:top="936"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altName w:val="仿宋"/>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Microsoft YaHei UI"/>
    <w:panose1 w:val="020B0604020202020204"/>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abstractNum w:abstractNumId="1">
    <w:nsid w:val="00000004"/>
    <w:multiLevelType w:val="singleLevel"/>
    <w:tmpl w:val="00000004"/>
    <w:lvl w:ilvl="0" w:tentative="0">
      <w:start w:val="1"/>
      <w:numFmt w:val="chineseCounting"/>
      <w:suff w:val="nothing"/>
      <w:lvlText w:val="（%1）"/>
      <w:lvlJc w:val="left"/>
      <w:rPr>
        <w:b/>
        <w:bCs/>
      </w:rPr>
    </w:lvl>
  </w:abstractNum>
  <w:abstractNum w:abstractNumId="2">
    <w:nsid w:val="00000005"/>
    <w:multiLevelType w:val="singleLevel"/>
    <w:tmpl w:val="00000005"/>
    <w:lvl w:ilvl="0" w:tentative="0">
      <w:start w:val="1"/>
      <w:numFmt w:val="chineseCounting"/>
      <w:pStyle w:val="2"/>
      <w:suff w:val="nothing"/>
      <w:lvlText w:val="%1、"/>
      <w:lvlJc w:val="left"/>
      <w:pPr>
        <w:tabs>
          <w:tab w:val="left" w:pos="0"/>
        </w:tabs>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6970A33"/>
    <w:rsid w:val="5BD80F8A"/>
    <w:rsid w:val="64D2016D"/>
    <w:rsid w:val="6F303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qFormat/>
    <w:uiPriority w:val="0"/>
    <w:pPr>
      <w:keepNext/>
      <w:keepLines/>
      <w:numPr>
        <w:ilvl w:val="0"/>
        <w:numId w:val="1"/>
      </w:numPr>
      <w:ind w:firstLine="0"/>
      <w:outlineLvl w:val="1"/>
    </w:pPr>
    <w:rPr>
      <w:rFonts w:ascii="Arial" w:hAnsi="Arial"/>
      <w:b/>
      <w:sz w:val="30"/>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Date"/>
    <w:basedOn w:val="1"/>
    <w:next w:val="1"/>
    <w:link w:val="18"/>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p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3">
    <w:name w:val="正文 A"/>
    <w:qFormat/>
    <w:uiPriority w:val="0"/>
    <w:pPr>
      <w:widowControl w:val="0"/>
      <w:jc w:val="both"/>
    </w:pPr>
    <w:rPr>
      <w:rFonts w:ascii="Calibri" w:hAnsi="Calibri" w:eastAsia="Calibri" w:cs="Calibri"/>
      <w:color w:val="000000"/>
      <w:kern w:val="2"/>
      <w:sz w:val="30"/>
      <w:szCs w:val="30"/>
      <w:u w:color="000000"/>
      <w:lang w:val="en-US" w:eastAsia="zh-CN" w:bidi="ar-SA"/>
    </w:rPr>
  </w:style>
  <w:style w:type="character" w:customStyle="1" w:styleId="14">
    <w:name w:val="批注框文本 字符"/>
    <w:basedOn w:val="9"/>
    <w:link w:val="5"/>
    <w:qFormat/>
    <w:uiPriority w:val="0"/>
    <w:rPr>
      <w:rFonts w:ascii="Calibri" w:hAnsi="Calibri"/>
      <w:kern w:val="2"/>
      <w:sz w:val="18"/>
      <w:szCs w:val="18"/>
    </w:rPr>
  </w:style>
  <w:style w:type="character" w:customStyle="1" w:styleId="15">
    <w:name w:val="未处理的提及1"/>
    <w:basedOn w:val="9"/>
    <w:qFormat/>
    <w:uiPriority w:val="99"/>
    <w:rPr>
      <w:color w:val="605E5C"/>
      <w:shd w:val="clear" w:color="auto" w:fill="E1DFDD"/>
    </w:rPr>
  </w:style>
  <w:style w:type="character" w:customStyle="1" w:styleId="16">
    <w:name w:val="font41"/>
    <w:basedOn w:val="9"/>
    <w:qFormat/>
    <w:uiPriority w:val="0"/>
    <w:rPr>
      <w:rFonts w:hint="default" w:ascii="仿宋_GB2312" w:eastAsia="仿宋_GB2312" w:cs="仿宋_GB2312"/>
      <w:b/>
      <w:color w:val="000000"/>
      <w:sz w:val="22"/>
      <w:szCs w:val="22"/>
      <w:u w:val="none"/>
    </w:rPr>
  </w:style>
  <w:style w:type="character" w:customStyle="1" w:styleId="17">
    <w:name w:val="font51"/>
    <w:basedOn w:val="9"/>
    <w:qFormat/>
    <w:uiPriority w:val="0"/>
    <w:rPr>
      <w:rFonts w:hint="eastAsia" w:ascii="宋体" w:hAnsi="宋体" w:eastAsia="宋体" w:cs="宋体"/>
      <w:b/>
      <w:color w:val="000000"/>
      <w:sz w:val="22"/>
      <w:szCs w:val="22"/>
      <w:u w:val="none"/>
    </w:rPr>
  </w:style>
  <w:style w:type="character" w:customStyle="1" w:styleId="18">
    <w:name w:val="日期 字符"/>
    <w:basedOn w:val="9"/>
    <w:link w:val="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1216</Words>
  <Characters>6935</Characters>
  <Lines>57</Lines>
  <Paragraphs>16</Paragraphs>
  <ScaleCrop>false</ScaleCrop>
  <LinksUpToDate>false</LinksUpToDate>
  <CharactersWithSpaces>8135</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2023-04-05T21:07:00Z</dcterms:created>
  <dc:creator>LGYY</dc:creator>
  <cp:lastModifiedBy>LGYY-USER</cp:lastModifiedBy>
  <cp:lastPrinted>2018-02-09T08:05:00Z</cp:lastPrinted>
  <dcterms:modified xsi:type="dcterms:W3CDTF">2023-04-18T02:45:58Z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36ca11be79c2439ea90b6776d79116c8</vt:lpwstr>
  </property>
</Properties>
</file>